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1"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托克逊县卫生服务中心2024年单位预算公开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一、关于托克逊县卫生服务中心单位2024年收支预算情况的总体说明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二、关于托克逊县卫生服务中心单位2024年收入预算情况说明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三、关于托克逊县卫生服务中心单位2024年支出预算情况说明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四、关于托克逊县卫生服务中心单位2024年财政拨款收支预算情况的总体说明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五、关于托克逊县卫生服务中心单位2024年一般公共预算当年拨款情况说明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六、关于托克逊县卫生服务中心单位2024年一般公共预算基本支出情况说明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七、关于托克逊县卫生服务中心单位2024年一般公共预算项目支出情况说明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八、关于托克逊县卫生服务中心单位2024年政府性基金预算拨款情况说明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九、关于托克逊县卫生服务中心单位2024年国有资本经营预算拨款情况说明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十、关于托克逊县卫生服务中心单位2024年财政拨款“三公”经费预算情况说明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十一、关于托克逊县卫生服务中心单位2024年上年结转结余预算情况说明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(1)是基本公共卫生专业机构、疾病预防、保健、残疾及功能障碍康复、全民健康教育，全民健康体检、突发公共卫生事件应急处置，计划免疫。</w:t>
      </w:r>
    </w:p>
    <w:p>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(2)健康危害因素监测与干预、健康教育与健康促进；</w:t>
      </w:r>
    </w:p>
    <w:p>
      <w:pPr>
        <w:widowControl/>
        <w:spacing w:line="540" w:lineRule="exact"/>
        <w:ind w:firstLine="640" w:firstLineChars="200"/>
        <w:jc w:val="left"/>
        <w:rPr>
          <w:rFonts w:ascii="仿宋_GB2312" w:hAnsi="黑体" w:eastAsia="仿宋_GB2312" w:cs="宋体"/>
          <w:bCs/>
          <w:color w:val="auto"/>
          <w:kern w:val="0"/>
          <w:sz w:val="32"/>
          <w:szCs w:val="32"/>
        </w:rPr>
      </w:pPr>
      <w:r>
        <w:rPr>
          <w:rFonts w:hint="eastAsia" w:ascii="仿宋_GB2312" w:hAnsi="黑体" w:eastAsia="仿宋_GB2312" w:cs="宋体"/>
          <w:bCs/>
          <w:color w:val="auto"/>
          <w:kern w:val="0"/>
          <w:sz w:val="32"/>
          <w:szCs w:val="32"/>
        </w:rPr>
        <w:t>(3)碘缺乏病、地方性氟中毒、包虫病等地方病的监测防治；</w:t>
      </w:r>
    </w:p>
    <w:p>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(4)慢性病管理和慢性非传染性疾病的防治与管理。</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托克逊县卫生服务中心单位无下属预算单位，下设8个处室，分别是：办公室、计划免疫科、财务科、预防保健科、妇女保健科、儿童保健科、结核病科、地方病科</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托克逊县卫生服务中心单位编制数12，实有人数18人，其中：在职17人，增加0人；退休1人，增加0人；离休0人，增加0人。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602.02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362.02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344.34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17.68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33.73</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545.91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240.00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4.02</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26.40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606.04</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606.04</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33.73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33.73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33.73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33.73</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33.73</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33.73</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0.76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0.76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0.76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32.97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32.97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32.97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545.91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301.89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284.21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17.68</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4.02</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基层医疗卫生机构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485.20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245.20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245.20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城市社区卫生机构</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485.20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245.20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245.20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240.00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公共卫生</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46.70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42.68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25.00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17.68</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4.02</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08</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基本公共卫生服务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31.02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27.00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12.00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15.00</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4.02</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重大公共卫生服务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2.68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2.68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2.68</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其他公共卫生支出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13.00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13.00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13.00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14.01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14.01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14.01</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14.01</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14.01</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26.40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26.40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26.40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26.40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26.40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26.40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26.40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26.40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26.40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606.04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362.02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344.34</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17.68</w:t>
            </w: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240.00</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4.02</w:t>
            </w: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编制单位：托克逊县卫生服务中心</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33.73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33.73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33.73</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33.73</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0.76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0.76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32.97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32.97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545.91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259.21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286.70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基层医疗卫生机构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485.20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245.20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240.00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城市社区卫生机构</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485.20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245.20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240.00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公共卫生</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46.70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46.70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08</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基本公共卫生服务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31.02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31.02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重大公共卫生服务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2.68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2.68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04</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其他公共卫生支出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13.00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13.00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14.01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14.01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14.01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14.01</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26.40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26.40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26.40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26.40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26.40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26.40</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606.04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319.34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286.70</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362.02</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362.02</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33.73</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33.73</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301.89</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301.89</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26.40</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26.40</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362.02</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362.02</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362.02</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33.73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33.73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33.73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33.73</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0.76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32.97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32.97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301.89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259.21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42.68</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基层医疗卫生机构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245.20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245.20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城市社区卫生机构</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245.20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245.20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公共卫生</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42.68</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基本公共卫生服务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27.00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重大公共卫生服务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2.68</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04</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其他公共卫生支出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14.01</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26.40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26.40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362.02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319.34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42.68</w:t>
            </w: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296.23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296.23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69.58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69.58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33.42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33.42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49.88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49.88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39.67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39.67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32.97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32.97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14.01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14.01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1.45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26.40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28.85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28.85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22.35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22.35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11.73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11.73</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物业管理费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0.33</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5.60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3.99</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319.34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296.99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22.35</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42.68</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42.68</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04</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公共卫生</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42.68</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42.68</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吐市财社〔2023〕97号，2024年自治区基本公共卫生服务补助资金</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15.00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15.00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08</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基本公共卫生服务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2024年基本公共卫生服务县级补助资金(县级配套）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12.00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12.00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吐市财社[2023]80号，2024年中央重大传染病防控经费(73万)</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重大公共卫生服务</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吐市财社[2023]80号，2024年中央重大传染病防控经费(135.34万）</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0.68</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0.68</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04</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其他公共卫生支出</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2024年全民健康体检县级补助资金（县级配套）</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13.00</w:t>
            </w:r>
          </w:p>
        </w:tc>
        <w:tc>
          <w:tcPr>
            <w:tcW w:w="720" w:type="dxa"/>
            <w:shd w:val="clear" w:color="auto" w:fill="auto"/>
            <w:vAlign w:val="center"/>
          </w:tcPr>
          <w:p>
            <w:pPr>
              <w:jc w:val="right"/>
              <w:rPr>
                <w:rFonts w:ascii="仿宋_GB2312" w:hAnsi="宋体" w:eastAsia="仿宋_GB2312" w:cs="宋体"/>
                <w:color w:val="auto"/>
                <w:sz w:val="18"/>
                <w:szCs w:val="18"/>
              </w:rPr>
            </w:pPr>
          </w:p>
        </w:tc>
        <w:tc>
          <w:tcPr>
            <w:tcW w:w="8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13.00</w:t>
            </w: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42.68</w:t>
            </w:r>
          </w:p>
        </w:tc>
        <w:tc>
          <w:tcPr>
            <w:tcW w:w="720" w:type="dxa"/>
            <w:shd w:val="clear" w:color="auto" w:fill="auto"/>
            <w:vAlign w:val="center"/>
          </w:tcPr>
          <w:p>
            <w:pPr>
              <w:jc w:val="right"/>
              <w:rPr>
                <w:rFonts w:ascii="仿宋_GB2312" w:hAnsi="宋体" w:eastAsia="仿宋_GB2312" w:cs="宋体"/>
                <w:b/>
                <w:color w:val="auto"/>
                <w:sz w:val="18"/>
                <w:szCs w:val="18"/>
              </w:rPr>
            </w:pPr>
          </w:p>
        </w:tc>
        <w:tc>
          <w:tcPr>
            <w:tcW w:w="8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42.68</w:t>
            </w: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备注：托克逊县卫生服务中心2024年没有使用政府性基金预算拨款安排的支出，政府性基金预算支出情况表为空表。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备注：托克逊县卫生服务中心2024年没有使用国有资本经营预算拨款安排的支出，国有资本经营预算支出情况表为空表。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备注：托克逊县卫生服务中心2024年未安排三公经费预算，三公经费支出情况表为空表。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813"/>
        <w:gridCol w:w="989"/>
        <w:gridCol w:w="826"/>
        <w:gridCol w:w="836"/>
        <w:gridCol w:w="963"/>
        <w:gridCol w:w="746"/>
        <w:gridCol w:w="759"/>
        <w:gridCol w:w="740"/>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编制单位：托克逊县卫生服务中心</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合计</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4.02</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4.02</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4.02</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中央基本公共卫生补助</w:t>
            </w:r>
          </w:p>
        </w:tc>
        <w:tc>
          <w:tcPr>
            <w:tcW w:w="850"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4.02</w:t>
            </w:r>
          </w:p>
        </w:tc>
        <w:tc>
          <w:tcPr>
            <w:tcW w:w="105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4.02</w:t>
            </w: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r>
              <w:rPr>
                <w:rFonts w:hint="eastAsia" w:ascii="仿宋_GB2312" w:hAnsi="宋体" w:eastAsia="仿宋_GB2312"/>
                <w:color w:val="auto"/>
                <w:kern w:val="0"/>
                <w:sz w:val="18"/>
                <w:szCs w:val="18"/>
              </w:rPr>
              <w:t>4.02</w:t>
            </w: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关于托克逊县卫生服务中心单位2024年收支预算情况的总体说明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按照全口径预算的原则，托克逊县卫生服务中心单位2024年所有收入和支出均纳入单位预算管理。收支总预算606.04万元。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收入预算包括：一般公共预算、单位资金、财政拨款结转结余。</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二、关于托克逊县卫生服务中心单位2024年收入预算情况说明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托克逊县卫生服务中心单位收入预算606.04万元，其中：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一般公共预算344.34万元，占56.82%，比上年预算增加33.87万元，增长10.91%，主要原因是人员工资、绩效奖调增，社保、公积金基数上调，导致预算比上年有所增加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17.68万元，占2.92%，比上年预算增加17.68万元，增长100.00%，主要原因是增加2024年自治区基本公共卫生服务补助资金、2024年中央重大传染病防控经费、2024年中央重大传染病防控经费，因此今年预算比上年有所增长</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单位资金240.00万元，占39.60%，比上年预算增加176.02万元，增长275.12%，主要原因是2023年卫生服务中心成立门诊，二类疫苗接种费不用上缴疾控中心，因此导致预算有所增加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财政拨款结转4.02万元，占0.66%，比上年预算减少37.28万元，下降90.27%，主要原因是</w:t>
      </w:r>
      <w:r>
        <w:rPr>
          <w:rFonts w:hint="eastAsia" w:ascii="仿宋_GB2312" w:hAnsi="宋体" w:eastAsia="仿宋_GB2312" w:cs="宋体"/>
          <w:color w:val="auto"/>
          <w:kern w:val="0"/>
          <w:sz w:val="32"/>
          <w:szCs w:val="32"/>
          <w:lang w:val="en-US" w:eastAsia="zh-CN"/>
        </w:rPr>
        <w:t>上年结转已支付完毕、本年只结转了中央基本公共卫生补助资金</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三、关于托克逊县卫生服务中心单位2024年支出预算情况说明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托克逊县卫生服务中心单位2024年支出预算606.04万元，其中：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基本支出319.34万元，占52.69%，比上年预算增加8.87万元，增长2.86%，主要原因是人员工资、绩效奖调增，社保，公积金基数上调，导致预算有所增加。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286.70万元，占47.31%，比上年预算增加181.42万元，增长172.32%，主要原因是新增2024年自治区基本公共卫生服务补助资金、2024年中央重大传染病防控经费、2024年中央重大传染病防控经费、2024年全民健康体检县级补助资金（县级配套）、2024年基本公共卫生服务县级补助资金(县级配套</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，导致预算有所增加。</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四、关于托克逊县卫生服务中心单位2024年财政拨款收支预算情况的总体说明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2024年财政拨款收支总预算362.02万元。</w:t>
      </w:r>
    </w:p>
    <w:p>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收入预算包括：一般公共预算拨款362.02万元。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33.73万元，主要用于单位人员社保缴费支出;卫生健康支出301.89万元，主要用于保障单位正常运行的人员经费、公用经费支出及单位人员医疗保险缴费支出;住房保障支出26.40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五、关于托克逊县卫生服务中心单位2024年一般公共预算当年拨款情况说明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托克逊县卫生服务中心单位2024年一般公共预算拨款合计362.02万元，其中：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基本支出319.34万元，比上年预算增加8.87万元，增长2.86%。主要原因是：人员工资、绩效奖调增，社保，公积金基数上调，导致预算有所增加。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42.68万元，比上年预算增加42.68万元，增长100.00%。主要原因是：新增2024年自治区基本公共卫生服务补助资金、2024年中央重大传染病防控经费、2024年中央重大传染病防控经费、2024年全民健康体检县级补助资金（县级配套）、2024年基本公共卫生服务县级补助资金(县级配套，导致预算有所增加。</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1.社会保障和就业支出（类）33.73万元，占9.32%。</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2.卫生健康支出（类）301.89万元，占83.39%。</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3.住房保障支出（类）26.40万元，占7.29%。</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1.社会保障和就业支出（类）行政事业单位养老支出（款）事业单位离退休（项）：2024年预算数为0.76万元，比上年预算减少0.10万元，下降11.63%</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主要原因是：2024年医疗制度改革，退休人员医疗未做预算，预算数较上年度减少。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2.社会保障和就业支出（类）行政事业单位养老支出（款）机关事业单位基本养老保险缴费支出（项）：2024年预算数为32.97万元，比上年预算增加2.74万元，增长9.06%</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主要原因是：人员工资调增，养老保险基数上调，导致预算较上年增加。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3.卫生健康支出（类）基层医疗卫生机构（款）城市社区卫生机构（项）：2024年预算数为245.20万元，比上年预算增加17.68万元，增长7.77%，主要原因是：人员工资调增,导致预算较上年增加。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4.卫生健康支出（类）公共卫生（款）基本公共卫生服务（项）：2024年预算数为27.00万元，比上年预算增加27.00万元，增长100.00%，主要原因是：新增2024年自治区基本公共卫生服务补助资金。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公共卫生（款）重大公共卫生服务（项）：2024年预算数为2.68万元，比上年预算增加2.68万元，增长100.00%，主要原因是：今年新增2024年中央重大传染病防控经费、2024年中央重大传染病防控经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6.卫生健康支出（类）公共卫生（款）其他公共卫生支出（项）：2024年预算数为13.00万元，比上年预算增加13.00万元，增长100.00%，主要原因是：新增2024年全民健康体检县级补助资金。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7.卫生健康支出（类）行政事业单位医疗（款）事业单位医疗（项）：2024年预算数为14.01万元，比上年预算增加1.18万元，增长9.20%，主要原因是：人员工资调增，医疗基数上调，导致预算较上年有所增加。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8.住房保障支出（类）住房改革支出（款）住房公积金（项）：2024年预算数为26.40万元，比上年预算增加2.48万元，增长10.37%，主要原因是：人员工资调增，住房公积金基数上调，导致预算较上年有所增加。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9.社会保障和就业支出（类）行政事业单位养老支出（款）机关事业单位职业年金缴费支出（项）：2024年预算数为0.00万元，比上年预算减少15.11万元，下降100.00%，主要原因是：本年度职业年金预算由政府（财政）预算代列，未直接体现在部门预算里，导致本单位该项预算减少。</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六、关于托克逊县卫生服务中心单位2024年一般公共预算基本支出情况说明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托克逊县卫生服务中心单位2024年一般公共预算基本支出319.34万元，其中：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人员经费296.99万元，主要包括：基本工资、津贴补贴、奖金、绩效工资、机关事业单位基本养老保险缴费、职工基本医疗保险缴费、其他社会保障缴费、住房公积金、其他工资福利支出、退休费。</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公用经费22.35万元，主要包括：办公费、水费、电费、物业管理费、劳务费、工会经费。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七、关于托克逊县卫生服务中心单位2024年一般公共预算项目支出情况说明</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（一）项目名称：吐市财社〔2023〕97号，2024年自治区基本公共卫生服务补助资金</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设立的政策依据：根据《关于提前下达2024年自治区基本公共卫生服务补助资金预算的通知》（吐市财社〔2023〕97号）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预算安排规模：15.00万元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项目承担单位：托克逊县卫生服务中心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万元，办公费：5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万元，印刷费：5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（二）项目名称：2024年基本公共卫生服务县级补助资金(县级配套）</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设立的政策依据：2024年基本公共卫生服务县级补助资金(县级配套）（托财预〔2024〕1号）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预算安排规模：12.00万元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项目承担单位：托克逊县卫生服务中心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万元，办公费：5</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万元，其他商品和服务费：2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（三）项目名称：吐市财社[2023]80号，2024年中央重大传染病防控经费(73万)</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设立的政策依据：根据《关于提前下达2024年中央财政重大传染病防空经费预算的通知》（吐市财社〔2023〕80号）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预算安排规模：2.00万元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项目承担单位：托克逊县卫生服务中心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资金分配情况：劳务费：1.5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万元，印刷费：0.5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（四）项目名称：吐市财社[2023]80号，2024年中央重大传染病防控经费(135.34万）</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设立的政策依据：根据《关于提前下达2024年中央财政重大传染病防空经费预算的通知》（吐市财社〔2023〕80号）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预算安排规模：0.68万元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项目承担单位：托克逊县卫生服务中心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资金分配情况：其他商品和服务费：0.68万元。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（五）项目名称：2024年全民健康体检县级补助资金（县级配套）</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设立的政策依据：2024年全民健康体检县级补助资金（县级配套）（托财预〔2024〕1号）</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预算安排规模：13.00万元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项目承担单位：托克逊县卫生服务中心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资金分配情况：劳务费：3</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万元，专用材料费：10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w:t>
      </w:r>
    </w:p>
    <w:p>
      <w:pPr>
        <w:widowControl w:val="0"/>
        <w:spacing w:line="560" w:lineRule="exact"/>
        <w:ind w:firstLine="640" w:firstLineChars="200"/>
        <w:jc w:val="both"/>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八、关于托克逊县卫生服务中心单位2024年政府性基金预算拨款情况说明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九、关于托克逊县卫生服务中心单位2024年国有资本经营预算拨款情况说明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十、关于托克逊县卫生服务中心单位2024年财政拨款“三公”经费预算情况说明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十一、关于托克逊县卫生服务中心单位2024年上年结转结余预算情况说明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托克逊县卫生服务中心单位2024年上年结转结余4.02万元，包括：财政拨款4.02万元，非财政拨款0.00万元，其中：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1、中央基本公共卫生补助4.02万元，主要用于：基本公共卫生服务支出。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托克逊县卫生服务中心单位2024年的事业单位运行经费财政拨款预算22.35万元，比上年预算减少3.13万元，下降12.28%。主要原因是</w:t>
      </w:r>
      <w:r>
        <w:rPr>
          <w:rFonts w:hint="eastAsia" w:ascii="仿宋_GB2312" w:hAnsi="宋体" w:eastAsia="仿宋_GB2312" w:cs="宋体"/>
          <w:color w:val="auto"/>
          <w:kern w:val="0"/>
          <w:sz w:val="32"/>
          <w:szCs w:val="32"/>
          <w:lang w:val="en-US" w:eastAsia="zh-CN"/>
        </w:rPr>
        <w:t>福利费减少</w:t>
      </w:r>
      <w:r>
        <w:rPr>
          <w:rFonts w:hint="eastAsia" w:ascii="仿宋_GB2312" w:hAnsi="宋体" w:eastAsia="仿宋_GB2312" w:cs="宋体"/>
          <w:color w:val="auto"/>
          <w:kern w:val="0"/>
          <w:sz w:val="32"/>
          <w:szCs w:val="32"/>
        </w:rPr>
        <w:t>，因此预算数较上年度减少。</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2024年，托克逊县卫生服务中心单位政府采购预算9.2</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万元，其中：政府采购货物预算9.2</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万元，政府采购工程预算0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宋体" w:eastAsia="仿宋_GB2312" w:cs="宋体"/>
          <w:color w:val="auto"/>
          <w:kern w:val="0"/>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2024年，托克逊县卫生服务中心单位面向中小企业预留政府采购项目预算金额9.2</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万元，小微企业预留政府采购项目预算金额9.2</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截至2023年底，托克逊县卫生服务中心单位及下属各预算单位占用使用国有资产总体情况为：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3.办公家具价值4.4万元。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4.其他资产价值624.1万元。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单位价值50万元以上大型设备1台，单位价值100万元以上大型设备2台。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606.01</w:t>
      </w:r>
      <w:r>
        <w:rPr>
          <w:rFonts w:hint="eastAsia" w:ascii="仿宋_GB2312" w:hAnsi="宋体" w:eastAsia="仿宋_GB2312" w:cs="宋体"/>
          <w:color w:val="auto"/>
          <w:kern w:val="0"/>
          <w:sz w:val="32"/>
          <w:szCs w:val="32"/>
        </w:rPr>
        <w:t>万元；当年财政拨款项目</w:t>
      </w:r>
      <w:r>
        <w:rPr>
          <w:rFonts w:hint="eastAsia" w:ascii="仿宋_GB2312" w:hAnsi="宋体" w:eastAsia="仿宋_GB2312" w:cs="宋体"/>
          <w:color w:val="auto"/>
          <w:kern w:val="0"/>
          <w:sz w:val="32"/>
          <w:szCs w:val="32"/>
          <w:lang w:val="en-US" w:eastAsia="zh-CN"/>
        </w:rPr>
        <w:t>5</w:t>
      </w:r>
      <w:r>
        <w:rPr>
          <w:rFonts w:hint="eastAsia" w:ascii="仿宋_GB2312" w:hAnsi="宋体" w:eastAsia="仿宋_GB2312" w:cs="宋体"/>
          <w:color w:val="auto"/>
          <w:kern w:val="0"/>
          <w:sz w:val="32"/>
          <w:szCs w:val="32"/>
        </w:rPr>
        <w:t>个，涉及预算金额</w:t>
      </w:r>
      <w:r>
        <w:rPr>
          <w:rFonts w:ascii="仿宋_GB2312" w:hAnsi="宋体" w:eastAsia="仿宋_GB2312" w:cs="宋体"/>
          <w:color w:val="auto"/>
          <w:kern w:val="0"/>
          <w:sz w:val="32"/>
          <w:szCs w:val="32"/>
        </w:rPr>
        <w:t>42.68</w:t>
      </w:r>
      <w:r>
        <w:rPr>
          <w:rFonts w:hint="eastAsia" w:ascii="仿宋_GB2312" w:hAnsi="宋体" w:eastAsia="仿宋_GB2312" w:cs="宋体"/>
          <w:color w:val="auto"/>
          <w:kern w:val="0"/>
          <w:sz w:val="32"/>
          <w:szCs w:val="32"/>
        </w:rPr>
        <w:t>万元；当年非财政拨款项目1个，涉及预算金额</w:t>
      </w:r>
      <w:r>
        <w:rPr>
          <w:rFonts w:ascii="仿宋_GB2312" w:hAnsi="宋体" w:eastAsia="仿宋_GB2312" w:cs="宋体"/>
          <w:color w:val="auto"/>
          <w:kern w:val="0"/>
          <w:sz w:val="32"/>
          <w:szCs w:val="32"/>
        </w:rPr>
        <w:t>240</w:t>
      </w:r>
      <w:r>
        <w:rPr>
          <w:rFonts w:hint="eastAsia" w:ascii="仿宋_GB2312" w:hAnsi="宋体" w:eastAsia="仿宋_GB2312" w:cs="宋体"/>
          <w:color w:val="auto"/>
          <w:kern w:val="0"/>
          <w:sz w:val="32"/>
          <w:szCs w:val="32"/>
        </w:rPr>
        <w:t>.00万元。具体情况见下表：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76" w:type="dxa"/>
        <w:jc w:val="center"/>
        <w:tblLayout w:type="autofit"/>
        <w:tblCellMar>
          <w:top w:w="0" w:type="dxa"/>
          <w:left w:w="108" w:type="dxa"/>
          <w:bottom w:w="0" w:type="dxa"/>
          <w:right w:w="108" w:type="dxa"/>
        </w:tblCellMar>
      </w:tblPr>
      <w:tblGrid>
        <w:gridCol w:w="1024"/>
        <w:gridCol w:w="1294"/>
        <w:gridCol w:w="2369"/>
        <w:gridCol w:w="1291"/>
        <w:gridCol w:w="2480"/>
        <w:gridCol w:w="1418"/>
      </w:tblGrid>
      <w:tr>
        <w:tblPrEx>
          <w:tblCellMar>
            <w:top w:w="0" w:type="dxa"/>
            <w:left w:w="108" w:type="dxa"/>
            <w:bottom w:w="0" w:type="dxa"/>
            <w:right w:w="108" w:type="dxa"/>
          </w:tblCellMar>
        </w:tblPrEx>
        <w:trPr>
          <w:trHeight w:val="845" w:hRule="atLeast"/>
          <w:jc w:val="center"/>
        </w:trPr>
        <w:tc>
          <w:tcPr>
            <w:tcW w:w="9876"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71" w:hRule="atLeast"/>
          <w:jc w:val="center"/>
        </w:trPr>
        <w:tc>
          <w:tcPr>
            <w:tcW w:w="9876"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28" w:hRule="atLeast"/>
          <w:jc w:val="center"/>
        </w:trPr>
        <w:tc>
          <w:tcPr>
            <w:tcW w:w="23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托克逊县卫生服务中心</w:t>
            </w:r>
          </w:p>
        </w:tc>
      </w:tr>
      <w:tr>
        <w:tblPrEx>
          <w:tblCellMar>
            <w:top w:w="0" w:type="dxa"/>
            <w:left w:w="108" w:type="dxa"/>
            <w:bottom w:w="0" w:type="dxa"/>
            <w:right w:w="108" w:type="dxa"/>
          </w:tblCellMar>
        </w:tblPrEx>
        <w:trPr>
          <w:trHeight w:val="628" w:hRule="atLeast"/>
          <w:jc w:val="center"/>
        </w:trPr>
        <w:tc>
          <w:tcPr>
            <w:tcW w:w="231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6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米尔扎提江·吾甫尔</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15609958889</w:t>
            </w:r>
          </w:p>
        </w:tc>
      </w:tr>
      <w:tr>
        <w:tblPrEx>
          <w:tblCellMar>
            <w:top w:w="0" w:type="dxa"/>
            <w:left w:w="108" w:type="dxa"/>
            <w:bottom w:w="0" w:type="dxa"/>
            <w:right w:w="108" w:type="dxa"/>
          </w:tblCellMar>
        </w:tblPrEx>
        <w:trPr>
          <w:trHeight w:val="3578" w:hRule="atLeast"/>
          <w:jc w:val="center"/>
        </w:trPr>
        <w:tc>
          <w:tcPr>
            <w:tcW w:w="23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558"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目标1：继续保障我单位开展的工作国家基本公共卫生服务、规范预防接种服务，执行国家免疫规划，及时发现、登记并报告辖区内发现的传染病病例和疑似病例。</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目标2：开展新生儿访视及儿童保健系统管理，进行体格检查和生长发育监测及评价，健康指导，提高孕产妇保健系统管理和产后访视，进行一般体格检查及孕期营养、心理等健康指导。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继续保障疾病预防、保健、残疾及功能障碍康复、全民健康教育，全民健康体检、突发公共卫生事件应急处置，计划免疫重性精神障碍患者管理，艾滋病患者管理、结核病患者管理家庭签约服务等各项工作的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目标5：健康危害因素监测与干预、健康教育与健康促进；碘缺乏病、地方性氟中毒、包虫病等地方病的监测防治，慢性病管理和慢性非传染性疾病的防治与管理。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目标6：计划重点建设中医馆，推拿、火罐、敷贴、热敷等中医适宜技术。</w:t>
            </w:r>
          </w:p>
        </w:tc>
      </w:tr>
      <w:tr>
        <w:tblPrEx>
          <w:tblCellMar>
            <w:top w:w="0" w:type="dxa"/>
            <w:left w:w="108" w:type="dxa"/>
            <w:bottom w:w="0" w:type="dxa"/>
            <w:right w:w="108" w:type="dxa"/>
          </w:tblCellMar>
        </w:tblPrEx>
        <w:trPr>
          <w:trHeight w:val="589" w:hRule="atLeast"/>
          <w:jc w:val="center"/>
        </w:trPr>
        <w:tc>
          <w:tcPr>
            <w:tcW w:w="23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8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30" w:hRule="atLeast"/>
          <w:jc w:val="center"/>
        </w:trPr>
        <w:tc>
          <w:tcPr>
            <w:tcW w:w="23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36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8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21.70</w:t>
            </w:r>
          </w:p>
        </w:tc>
      </w:tr>
      <w:tr>
        <w:tblPrEx>
          <w:tblCellMar>
            <w:top w:w="0" w:type="dxa"/>
            <w:left w:w="108" w:type="dxa"/>
            <w:bottom w:w="0" w:type="dxa"/>
            <w:right w:w="108" w:type="dxa"/>
          </w:tblCellMar>
        </w:tblPrEx>
        <w:trPr>
          <w:trHeight w:val="471" w:hRule="atLeast"/>
          <w:jc w:val="center"/>
        </w:trPr>
        <w:tc>
          <w:tcPr>
            <w:tcW w:w="23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36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8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584.31</w:t>
            </w:r>
          </w:p>
        </w:tc>
      </w:tr>
      <w:tr>
        <w:tblPrEx>
          <w:tblCellMar>
            <w:top w:w="0" w:type="dxa"/>
            <w:left w:w="108" w:type="dxa"/>
            <w:bottom w:w="0" w:type="dxa"/>
            <w:right w:w="108" w:type="dxa"/>
          </w:tblCellMar>
        </w:tblPrEx>
        <w:trPr>
          <w:trHeight w:val="471" w:hRule="atLeast"/>
          <w:jc w:val="center"/>
        </w:trPr>
        <w:tc>
          <w:tcPr>
            <w:tcW w:w="23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0"/>
                <w:szCs w:val="20"/>
              </w:rPr>
            </w:pP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89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530" w:hRule="atLeast"/>
          <w:jc w:val="center"/>
        </w:trPr>
        <w:tc>
          <w:tcPr>
            <w:tcW w:w="102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90" w:hRule="atLeast"/>
          <w:jc w:val="center"/>
        </w:trPr>
        <w:tc>
          <w:tcPr>
            <w:tcW w:w="10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2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建立城镇居民健康档案人数</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≥25530人</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71"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家庭医生签约人数</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≥16609人</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628"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计划免疫、预防接种人数</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≥24046人</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628"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全民健康体检人数</w:t>
            </w:r>
          </w:p>
        </w:tc>
        <w:tc>
          <w:tcPr>
            <w:tcW w:w="12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≥14470人</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r>
      <w:tr>
        <w:tblPrEx>
          <w:tblCellMar>
            <w:top w:w="0" w:type="dxa"/>
            <w:left w:w="108" w:type="dxa"/>
            <w:bottom w:w="0" w:type="dxa"/>
            <w:right w:w="108" w:type="dxa"/>
          </w:tblCellMar>
        </w:tblPrEx>
        <w:trPr>
          <w:trHeight w:val="471"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婴幼儿及孕产妇管理人数</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≥8140人</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471" w:hRule="atLeast"/>
          <w:jc w:val="center"/>
        </w:trPr>
        <w:tc>
          <w:tcPr>
            <w:tcW w:w="1024"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宣传品印刷份数</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≥19000份</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r>
        <w:tblPrEx>
          <w:tblCellMar>
            <w:top w:w="0" w:type="dxa"/>
            <w:left w:w="108" w:type="dxa"/>
            <w:bottom w:w="0" w:type="dxa"/>
            <w:right w:w="108" w:type="dxa"/>
          </w:tblCellMar>
        </w:tblPrEx>
        <w:trPr>
          <w:trHeight w:val="471" w:hRule="atLeast"/>
          <w:jc w:val="center"/>
        </w:trPr>
        <w:tc>
          <w:tcPr>
            <w:tcW w:w="102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2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6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计划免疫、预防接种率</w:t>
            </w:r>
          </w:p>
        </w:tc>
        <w:tc>
          <w:tcPr>
            <w:tcW w:w="12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24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2023年度工作总结及2024年度工作计划</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r>
    </w:tbl>
    <w:p>
      <w:pPr>
        <w:widowControl/>
        <w:jc w:val="center"/>
        <w:rPr>
          <w:rFonts w:ascii="宋体" w:hAnsi="宋体"/>
          <w:color w:val="auto"/>
          <w:sz w:val="18"/>
          <w:szCs w:val="18"/>
        </w:rPr>
      </w:pPr>
    </w:p>
    <w:tbl>
      <w:tblPr>
        <w:tblStyle w:val="4"/>
        <w:tblW w:w="10478" w:type="dxa"/>
        <w:jc w:val="center"/>
        <w:tblLayout w:type="autofit"/>
        <w:tblCellMar>
          <w:top w:w="0" w:type="dxa"/>
          <w:left w:w="108" w:type="dxa"/>
          <w:bottom w:w="0" w:type="dxa"/>
          <w:right w:w="108" w:type="dxa"/>
        </w:tblCellMar>
      </w:tblPr>
      <w:tblGrid>
        <w:gridCol w:w="965"/>
        <w:gridCol w:w="1430"/>
        <w:gridCol w:w="2378"/>
        <w:gridCol w:w="984"/>
        <w:gridCol w:w="1022"/>
        <w:gridCol w:w="873"/>
        <w:gridCol w:w="854"/>
        <w:gridCol w:w="1036"/>
        <w:gridCol w:w="936"/>
      </w:tblGrid>
      <w:tr>
        <w:trPr>
          <w:trHeight w:val="664" w:hRule="atLeast"/>
          <w:jc w:val="center"/>
        </w:trPr>
        <w:tc>
          <w:tcPr>
            <w:tcW w:w="10478"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73" w:hRule="atLeast"/>
          <w:jc w:val="center"/>
        </w:trPr>
        <w:tc>
          <w:tcPr>
            <w:tcW w:w="10478"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519"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08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托克逊县卫生服务中心</w:t>
            </w:r>
          </w:p>
        </w:tc>
      </w:tr>
      <w:tr>
        <w:tblPrEx>
          <w:tblCellMar>
            <w:top w:w="0" w:type="dxa"/>
            <w:left w:w="108" w:type="dxa"/>
            <w:bottom w:w="0" w:type="dxa"/>
            <w:right w:w="108" w:type="dxa"/>
          </w:tblCellMar>
        </w:tblPrEx>
        <w:trPr>
          <w:trHeight w:val="581"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38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2024年全民健康体检县级补助资金项目</w:t>
            </w:r>
          </w:p>
        </w:tc>
        <w:tc>
          <w:tcPr>
            <w:tcW w:w="17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9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努日曼·赫依太木</w:t>
            </w:r>
          </w:p>
        </w:tc>
      </w:tr>
      <w:tr>
        <w:tblPrEx>
          <w:tblCellMar>
            <w:top w:w="0" w:type="dxa"/>
            <w:left w:w="108" w:type="dxa"/>
            <w:bottom w:w="0" w:type="dxa"/>
            <w:right w:w="108" w:type="dxa"/>
          </w:tblCellMar>
        </w:tblPrEx>
        <w:trPr>
          <w:trHeight w:val="851"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13.00</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13.00</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196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223" w:hRule="atLeast"/>
          <w:jc w:val="center"/>
        </w:trPr>
        <w:tc>
          <w:tcPr>
            <w:tcW w:w="2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081" w:type="dxa"/>
            <w:gridSpan w:val="7"/>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1.通过购买专用检测材料，做好15-79岁居民健康体检工作，预防疾病、早期发现疾病、早期干预和控制疾病，保障居民身体健康。</w:t>
            </w:r>
          </w:p>
          <w:p>
            <w:pPr>
              <w:widowControl/>
              <w:jc w:val="left"/>
              <w:rPr>
                <w:rFonts w:ascii="宋体" w:hAnsi="宋体" w:cs="宋体"/>
                <w:color w:val="auto"/>
                <w:kern w:val="0"/>
                <w:sz w:val="18"/>
                <w:szCs w:val="18"/>
              </w:rPr>
            </w:pPr>
            <w:r>
              <w:rPr>
                <w:rFonts w:hint="eastAsia" w:ascii="宋体" w:hAnsi="宋体" w:cs="宋体"/>
                <w:color w:val="auto"/>
                <w:kern w:val="0"/>
                <w:sz w:val="18"/>
                <w:szCs w:val="18"/>
              </w:rPr>
              <w:t>2.购买15种办公用品以保障各部门办公用品需求。</w:t>
            </w:r>
          </w:p>
        </w:tc>
      </w:tr>
      <w:tr>
        <w:tblPrEx>
          <w:tblCellMar>
            <w:top w:w="0" w:type="dxa"/>
            <w:left w:w="108" w:type="dxa"/>
            <w:bottom w:w="0" w:type="dxa"/>
            <w:right w:w="108" w:type="dxa"/>
          </w:tblCellMar>
        </w:tblPrEx>
        <w:trPr>
          <w:trHeight w:val="56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2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指标赋分规则</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39" w:hRule="atLeast"/>
          <w:jc w:val="center"/>
        </w:trPr>
        <w:tc>
          <w:tcPr>
            <w:tcW w:w="96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3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3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15-79岁健康体检人数</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≥12714人</w:t>
            </w:r>
          </w:p>
        </w:tc>
        <w:tc>
          <w:tcPr>
            <w:tcW w:w="1021"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3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购买专用检测材料数</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≥2批</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6</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3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购买办公用品种类</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≥15种</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3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3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居民健康体检覆盖率</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498" w:hRule="atLeast"/>
          <w:jc w:val="center"/>
        </w:trPr>
        <w:tc>
          <w:tcPr>
            <w:tcW w:w="9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30"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8"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检测材料及办公用品质量合格率</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39" w:hRule="atLeast"/>
          <w:jc w:val="center"/>
        </w:trPr>
        <w:tc>
          <w:tcPr>
            <w:tcW w:w="9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3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378"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81" w:hRule="atLeast"/>
          <w:jc w:val="center"/>
        </w:trPr>
        <w:tc>
          <w:tcPr>
            <w:tcW w:w="966"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3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专用材料费</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≤100000元</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966"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1430" w:type="dxa"/>
            <w:vMerge w:val="continue"/>
            <w:tcBorders>
              <w:top w:val="nil"/>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3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办公业务费支出</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≤30000元</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60" w:hRule="atLeast"/>
          <w:jc w:val="center"/>
        </w:trPr>
        <w:tc>
          <w:tcPr>
            <w:tcW w:w="966"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3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全民健康意识，增强自我保健能力</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明显提高</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32"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436" w:hRule="atLeast"/>
          <w:jc w:val="center"/>
        </w:trPr>
        <w:tc>
          <w:tcPr>
            <w:tcW w:w="966"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1430"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提高早期发现疾病、干预疾病和控制疾病的能力</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有效提高</w:t>
            </w:r>
          </w:p>
        </w:tc>
        <w:tc>
          <w:tcPr>
            <w:tcW w:w="1021"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54"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32"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643" w:hRule="atLeast"/>
          <w:jc w:val="center"/>
        </w:trPr>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3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3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体检群众满意度</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2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3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9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ascii="宋体" w:hAnsi="宋体"/>
          <w:color w:val="auto"/>
          <w:sz w:val="18"/>
          <w:szCs w:val="18"/>
        </w:rPr>
      </w:pPr>
    </w:p>
    <w:p>
      <w:pPr>
        <w:widowControl/>
        <w:jc w:val="center"/>
        <w:rPr>
          <w:rFonts w:ascii="宋体" w:hAnsi="宋体"/>
          <w:color w:val="auto"/>
          <w:sz w:val="18"/>
          <w:szCs w:val="18"/>
        </w:rPr>
      </w:pPr>
      <w:r>
        <w:rPr>
          <w:rFonts w:ascii="宋体" w:hAnsi="宋体"/>
          <w:color w:val="auto"/>
          <w:sz w:val="18"/>
          <w:szCs w:val="18"/>
        </w:rPr>
        <w:br w:type="page"/>
      </w:r>
    </w:p>
    <w:tbl>
      <w:tblPr>
        <w:tblStyle w:val="4"/>
        <w:tblW w:w="10745" w:type="dxa"/>
        <w:jc w:val="center"/>
        <w:tblLayout w:type="autofit"/>
        <w:tblCellMar>
          <w:top w:w="0" w:type="dxa"/>
          <w:left w:w="108" w:type="dxa"/>
          <w:bottom w:w="0" w:type="dxa"/>
          <w:right w:w="108" w:type="dxa"/>
        </w:tblCellMar>
      </w:tblPr>
      <w:tblGrid>
        <w:gridCol w:w="989"/>
        <w:gridCol w:w="1467"/>
        <w:gridCol w:w="2437"/>
        <w:gridCol w:w="1008"/>
        <w:gridCol w:w="1049"/>
        <w:gridCol w:w="893"/>
        <w:gridCol w:w="877"/>
        <w:gridCol w:w="1091"/>
        <w:gridCol w:w="934"/>
      </w:tblGrid>
      <w:tr>
        <w:tblPrEx>
          <w:tblCellMar>
            <w:top w:w="0" w:type="dxa"/>
            <w:left w:w="108" w:type="dxa"/>
            <w:bottom w:w="0" w:type="dxa"/>
            <w:right w:w="108" w:type="dxa"/>
          </w:tblCellMar>
        </w:tblPrEx>
        <w:trPr>
          <w:trHeight w:val="502" w:hRule="atLeast"/>
          <w:jc w:val="center"/>
        </w:trPr>
        <w:tc>
          <w:tcPr>
            <w:tcW w:w="10745"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282" w:hRule="atLeast"/>
          <w:jc w:val="center"/>
        </w:trPr>
        <w:tc>
          <w:tcPr>
            <w:tcW w:w="10745"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392"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28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托克逊县卫生服务中心</w:t>
            </w:r>
          </w:p>
        </w:tc>
      </w:tr>
      <w:tr>
        <w:tblPrEx>
          <w:tblCellMar>
            <w:top w:w="0" w:type="dxa"/>
            <w:left w:w="108" w:type="dxa"/>
            <w:bottom w:w="0" w:type="dxa"/>
            <w:right w:w="108" w:type="dxa"/>
          </w:tblCellMar>
        </w:tblPrEx>
        <w:trPr>
          <w:trHeight w:val="439"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49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2024年基本公共卫生服务县级补助资金</w:t>
            </w:r>
          </w:p>
        </w:tc>
        <w:tc>
          <w:tcPr>
            <w:tcW w:w="17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0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努日曼·赫依太木</w:t>
            </w:r>
          </w:p>
        </w:tc>
      </w:tr>
      <w:tr>
        <w:tblPrEx>
          <w:tblCellMar>
            <w:top w:w="0" w:type="dxa"/>
            <w:left w:w="108" w:type="dxa"/>
            <w:bottom w:w="0" w:type="dxa"/>
            <w:right w:w="108" w:type="dxa"/>
          </w:tblCellMar>
        </w:tblPrEx>
        <w:trPr>
          <w:trHeight w:val="646"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年度预算总额：</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12</w:t>
            </w:r>
            <w:r>
              <w:rPr>
                <w:rFonts w:hint="eastAsia" w:ascii="宋体" w:hAnsi="宋体" w:cs="宋体"/>
                <w:color w:val="auto"/>
                <w:kern w:val="0"/>
                <w:sz w:val="18"/>
                <w:szCs w:val="18"/>
              </w:rPr>
              <w:t>.00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12</w:t>
            </w:r>
            <w:r>
              <w:rPr>
                <w:rFonts w:hint="eastAsia" w:ascii="宋体" w:hAnsi="宋体" w:cs="宋体"/>
                <w:color w:val="auto"/>
                <w:kern w:val="0"/>
                <w:sz w:val="18"/>
                <w:szCs w:val="18"/>
              </w:rPr>
              <w:t>.00</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02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2249" w:hRule="atLeast"/>
          <w:jc w:val="center"/>
        </w:trPr>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28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1.我中心组织11名公卫人员对辖区居民进行基本公共卫生管理服务，通过对高血压患者健康管理1873人，糖尿病患者健康管理891人，严重精神障碍患者健康管理144人，全年家庭医生签约服务人数16609人，开展预防接种服务管理人数24046人，达到有效降低疾病发病率和病死率，加强疾病预防和控制的目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为开展基本公共卫生服务的11名公卫人员发放随访补助，通过对辖区居民进行健康危险因素调查和一般体格检查，对高血压、糖尿病等慢性病高危人群进行指导，登记管理、定期随访，提高公共卫生服务质量和效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3.购买宣传印刷品15000份，用于发放给辖区居民以提高居民健康意识和卫生素养，从而更好的维护身体健康和预防疾病的发生。</w:t>
            </w:r>
          </w:p>
        </w:tc>
      </w:tr>
      <w:tr>
        <w:tblPrEx>
          <w:tblCellMar>
            <w:top w:w="0" w:type="dxa"/>
            <w:left w:w="108" w:type="dxa"/>
            <w:bottom w:w="0" w:type="dxa"/>
            <w:right w:w="108" w:type="dxa"/>
          </w:tblCellMar>
        </w:tblPrEx>
        <w:trPr>
          <w:trHeight w:val="408" w:hRule="atLeast"/>
          <w:jc w:val="center"/>
        </w:trPr>
        <w:tc>
          <w:tcPr>
            <w:tcW w:w="9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4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376" w:hRule="atLeast"/>
          <w:jc w:val="center"/>
        </w:trPr>
        <w:tc>
          <w:tcPr>
            <w:tcW w:w="98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6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高血压患者健康管理人数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≥1873人</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糖尿病患者健康管理人数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≥891人</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严重精神障碍患者健康管理人数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≥144人</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家庭医生签约服务人数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≥16609人</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计划免疫、预防接种人数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≥24046人</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公卫人员工作人数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≥11人</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历史标准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宣传品印刷份数</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≥15000份</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慢性病患者规范健康管理率</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≥70%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孕产妇婴幼儿管理率</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≥93%</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计划免疫、预防接种率</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宣传品印刷合格率</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年度工作计划完成及时率</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4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24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基本公卫办公业务费支出</w:t>
            </w:r>
          </w:p>
        </w:tc>
        <w:tc>
          <w:tcPr>
            <w:tcW w:w="10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≤12万元</w:t>
            </w:r>
          </w:p>
        </w:tc>
        <w:tc>
          <w:tcPr>
            <w:tcW w:w="10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376"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公卫人员随访补助支出</w:t>
            </w:r>
          </w:p>
        </w:tc>
        <w:tc>
          <w:tcPr>
            <w:tcW w:w="10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≤10万元</w:t>
            </w:r>
          </w:p>
        </w:tc>
        <w:tc>
          <w:tcPr>
            <w:tcW w:w="10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376" w:hRule="atLeast"/>
          <w:jc w:val="center"/>
        </w:trPr>
        <w:tc>
          <w:tcPr>
            <w:tcW w:w="98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宣传品印刷费支出</w:t>
            </w:r>
          </w:p>
        </w:tc>
        <w:tc>
          <w:tcPr>
            <w:tcW w:w="10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≤5万元</w:t>
            </w:r>
          </w:p>
        </w:tc>
        <w:tc>
          <w:tcPr>
            <w:tcW w:w="10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w:t>
            </w:r>
          </w:p>
        </w:tc>
        <w:tc>
          <w:tcPr>
            <w:tcW w:w="10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9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376" w:hRule="atLeast"/>
          <w:jc w:val="center"/>
        </w:trPr>
        <w:tc>
          <w:tcPr>
            <w:tcW w:w="98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4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2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降低疾病发病率和病死率</w:t>
            </w:r>
          </w:p>
        </w:tc>
        <w:tc>
          <w:tcPr>
            <w:tcW w:w="10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明显降低</w:t>
            </w:r>
          </w:p>
        </w:tc>
        <w:tc>
          <w:tcPr>
            <w:tcW w:w="10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vMerge w:val="continue"/>
            <w:tcBorders>
              <w:top w:val="single" w:color="auto" w:sz="4" w:space="0"/>
              <w:left w:val="single" w:color="auto" w:sz="4" w:space="0"/>
              <w:bottom w:val="single" w:color="000000" w:sz="4" w:space="0"/>
              <w:right w:val="single" w:color="auto" w:sz="4" w:space="0"/>
            </w:tcBorders>
            <w:vAlign w:val="center"/>
          </w:tcPr>
          <w:p>
            <w:pPr>
              <w:widowControl/>
              <w:jc w:val="center"/>
              <w:rPr>
                <w:rFonts w:ascii="宋体" w:hAnsi="宋体" w:cs="宋体"/>
                <w:color w:val="auto"/>
                <w:kern w:val="0"/>
                <w:sz w:val="18"/>
                <w:szCs w:val="18"/>
              </w:rPr>
            </w:pPr>
          </w:p>
        </w:tc>
        <w:tc>
          <w:tcPr>
            <w:tcW w:w="1466" w:type="dxa"/>
            <w:vMerge w:val="continue"/>
            <w:tcBorders>
              <w:top w:val="single" w:color="auto" w:sz="4" w:space="0"/>
              <w:left w:val="single" w:color="auto" w:sz="4" w:space="0"/>
              <w:bottom w:val="nil"/>
              <w:right w:val="single" w:color="auto" w:sz="4" w:space="0"/>
            </w:tcBorders>
            <w:vAlign w:val="center"/>
          </w:tcPr>
          <w:p>
            <w:pPr>
              <w:widowControl/>
              <w:jc w:val="center"/>
              <w:rPr>
                <w:rFonts w:ascii="宋体" w:hAnsi="宋体" w:cs="宋体"/>
                <w:color w:val="auto"/>
                <w:kern w:val="0"/>
                <w:sz w:val="18"/>
                <w:szCs w:val="18"/>
              </w:rPr>
            </w:pPr>
          </w:p>
        </w:tc>
        <w:tc>
          <w:tcPr>
            <w:tcW w:w="24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公共卫生事件对应能力</w:t>
            </w:r>
          </w:p>
        </w:tc>
        <w:tc>
          <w:tcPr>
            <w:tcW w:w="10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显著提升</w:t>
            </w:r>
          </w:p>
        </w:tc>
        <w:tc>
          <w:tcPr>
            <w:tcW w:w="104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9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76" w:hRule="atLeast"/>
          <w:jc w:val="center"/>
        </w:trPr>
        <w:tc>
          <w:tcPr>
            <w:tcW w:w="98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146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满意度指标</w:t>
            </w:r>
          </w:p>
        </w:tc>
        <w:tc>
          <w:tcPr>
            <w:tcW w:w="24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受益群体对随访服务的满意度</w:t>
            </w:r>
          </w:p>
        </w:tc>
        <w:tc>
          <w:tcPr>
            <w:tcW w:w="10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w:t>
            </w:r>
          </w:p>
        </w:tc>
        <w:tc>
          <w:tcPr>
            <w:tcW w:w="10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w:t>
            </w:r>
          </w:p>
        </w:tc>
        <w:tc>
          <w:tcPr>
            <w:tcW w:w="8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9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满意度赋分</w:t>
            </w:r>
          </w:p>
        </w:tc>
        <w:tc>
          <w:tcPr>
            <w:tcW w:w="9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bl>
    <w:p>
      <w:pPr>
        <w:jc w:val="center"/>
        <w:rPr>
          <w:rFonts w:ascii="宋体" w:hAnsi="宋体"/>
          <w:color w:val="auto"/>
          <w:sz w:val="18"/>
          <w:szCs w:val="18"/>
        </w:rPr>
      </w:pPr>
    </w:p>
    <w:p>
      <w:pPr>
        <w:widowControl/>
        <w:spacing w:line="560" w:lineRule="exact"/>
        <w:ind w:firstLine="630" w:firstLineChars="196"/>
        <w:jc w:val="left"/>
        <w:rPr>
          <w:rFonts w:ascii="楷体_GB2312" w:hAnsi="宋体" w:eastAsia="楷体_GB2312" w:cs="宋体"/>
          <w:b/>
          <w:color w:val="auto"/>
          <w:kern w:val="0"/>
          <w:sz w:val="32"/>
          <w:szCs w:val="32"/>
        </w:rPr>
      </w:pPr>
      <w:r>
        <w:rPr>
          <w:rFonts w:ascii="楷体_GB2312" w:hAnsi="宋体" w:eastAsia="楷体_GB2312" w:cs="宋体"/>
          <w:b/>
          <w:color w:val="auto"/>
          <w:kern w:val="0"/>
          <w:sz w:val="32"/>
          <w:szCs w:val="32"/>
        </w:rPr>
        <w:br w:type="page"/>
      </w:r>
    </w:p>
    <w:tbl>
      <w:tblPr>
        <w:tblStyle w:val="4"/>
        <w:tblW w:w="10500" w:type="dxa"/>
        <w:jc w:val="center"/>
        <w:tblLayout w:type="autofit"/>
        <w:tblCellMar>
          <w:top w:w="0" w:type="dxa"/>
          <w:left w:w="108" w:type="dxa"/>
          <w:bottom w:w="0" w:type="dxa"/>
          <w:right w:w="108" w:type="dxa"/>
        </w:tblCellMar>
      </w:tblPr>
      <w:tblGrid>
        <w:gridCol w:w="960"/>
        <w:gridCol w:w="1074"/>
        <w:gridCol w:w="1691"/>
        <w:gridCol w:w="1000"/>
        <w:gridCol w:w="1122"/>
        <w:gridCol w:w="808"/>
        <w:gridCol w:w="808"/>
        <w:gridCol w:w="1207"/>
        <w:gridCol w:w="1830"/>
      </w:tblGrid>
      <w:tr>
        <w:tblPrEx>
          <w:tblCellMar>
            <w:top w:w="0" w:type="dxa"/>
            <w:left w:w="108" w:type="dxa"/>
            <w:bottom w:w="0" w:type="dxa"/>
            <w:right w:w="108" w:type="dxa"/>
          </w:tblCellMar>
        </w:tblPrEx>
        <w:trPr>
          <w:trHeight w:val="420" w:hRule="atLeast"/>
          <w:jc w:val="center"/>
        </w:trPr>
        <w:tc>
          <w:tcPr>
            <w:tcW w:w="1050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00" w:hRule="atLeast"/>
          <w:jc w:val="center"/>
        </w:trPr>
        <w:tc>
          <w:tcPr>
            <w:tcW w:w="105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621"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466"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托克逊县卫生服务中心</w:t>
            </w:r>
          </w:p>
        </w:tc>
      </w:tr>
      <w:tr>
        <w:tblPrEx>
          <w:tblCellMar>
            <w:top w:w="0" w:type="dxa"/>
            <w:left w:w="108" w:type="dxa"/>
            <w:bottom w:w="0" w:type="dxa"/>
            <w:right w:w="108" w:type="dxa"/>
          </w:tblCellMar>
        </w:tblPrEx>
        <w:trPr>
          <w:trHeight w:val="568"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62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综合业务经费（单位实有资金）</w:t>
            </w:r>
          </w:p>
        </w:tc>
        <w:tc>
          <w:tcPr>
            <w:tcW w:w="201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米尔扎提江·吾甫尔</w:t>
            </w:r>
          </w:p>
        </w:tc>
      </w:tr>
      <w:tr>
        <w:tblPrEx>
          <w:tblCellMar>
            <w:top w:w="0" w:type="dxa"/>
            <w:left w:w="108" w:type="dxa"/>
            <w:bottom w:w="0" w:type="dxa"/>
            <w:right w:w="108" w:type="dxa"/>
          </w:tblCellMar>
        </w:tblPrEx>
        <w:trPr>
          <w:trHeight w:val="3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年度预算总额：</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240.00</w:t>
            </w:r>
          </w:p>
        </w:tc>
        <w:tc>
          <w:tcPr>
            <w:tcW w:w="112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其中：财政拨款</w:t>
            </w:r>
          </w:p>
        </w:tc>
        <w:tc>
          <w:tcPr>
            <w:tcW w:w="16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0.00</w:t>
            </w:r>
          </w:p>
        </w:tc>
        <w:tc>
          <w:tcPr>
            <w:tcW w:w="120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240.00</w:t>
            </w:r>
          </w:p>
        </w:tc>
      </w:tr>
      <w:tr>
        <w:tblPrEx>
          <w:tblCellMar>
            <w:top w:w="0" w:type="dxa"/>
            <w:left w:w="108" w:type="dxa"/>
            <w:bottom w:w="0" w:type="dxa"/>
            <w:right w:w="108" w:type="dxa"/>
          </w:tblCellMar>
        </w:tblPrEx>
        <w:trPr>
          <w:trHeight w:val="1000" w:hRule="atLeast"/>
          <w:jc w:val="center"/>
        </w:trPr>
        <w:tc>
          <w:tcPr>
            <w:tcW w:w="2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46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目标1：通过单位自有资金按时发放7名临聘人员工资，提高员工工作积极性。</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目标2：根据实际情况及时采购药品、医疗耗材、检测试剂3大类专用材料，保障医护人员服务质量，满足患者需求。</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目标3：采购不少于43张办公桌椅、长椅凳等设备，给就诊人员提供舒适的就诊环境。</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目标4：购置不少于1台先进专用设备，提高患者诊断准确率。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目标5：开展水痘疫苗、宫颈癌疫苗、乙肝疫苗、狂犬疫苗、手足口、流感疫苗、带状疱疹疫苗、九价疫苗、HPV等9种疫苗接种服务，达到有效降低疾病发病率和病死率，加强疾病预防和控制的目标。</w:t>
            </w:r>
          </w:p>
        </w:tc>
      </w:tr>
      <w:tr>
        <w:tblPrEx>
          <w:tblCellMar>
            <w:top w:w="0" w:type="dxa"/>
            <w:left w:w="108" w:type="dxa"/>
            <w:bottom w:w="0" w:type="dxa"/>
            <w:right w:w="108" w:type="dxa"/>
          </w:tblCellMar>
        </w:tblPrEx>
        <w:trPr>
          <w:trHeight w:val="520" w:hRule="atLeast"/>
          <w:jc w:val="center"/>
        </w:trPr>
        <w:tc>
          <w:tcPr>
            <w:tcW w:w="9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6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400" w:hRule="atLeast"/>
          <w:jc w:val="center"/>
        </w:trPr>
        <w:tc>
          <w:tcPr>
            <w:tcW w:w="9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产出指标</w:t>
            </w: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专用材料采购大类</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&gt;=3类</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专用设备购置数量</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&gt;=1台</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临聘人员工作人数</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&gt;=7人</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历史标准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采购办公桌椅数量</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&gt;=43张</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疫苗接种类别</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&gt;=9类</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设备验收合格率</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&gt;=100%</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专用材料质量合格率</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&gt;=100%</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16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办公家具采购完成时间</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=2024年5月</w:t>
            </w:r>
          </w:p>
        </w:tc>
        <w:tc>
          <w:tcPr>
            <w:tcW w:w="11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成本指标</w:t>
            </w:r>
          </w:p>
        </w:tc>
        <w:tc>
          <w:tcPr>
            <w:tcW w:w="10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经济成本指标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专用材料费支出</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&lt;=170万元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专用设备购置费</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&lt;=29万元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劳务费支出</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&lt;=12万元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综合办公费支出</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&lt;=29万元</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5</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400" w:hRule="atLeast"/>
          <w:jc w:val="center"/>
        </w:trPr>
        <w:tc>
          <w:tcPr>
            <w:tcW w:w="9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效益指标</w:t>
            </w:r>
          </w:p>
        </w:tc>
        <w:tc>
          <w:tcPr>
            <w:tcW w:w="1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经济效益指标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专用设备利用率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&gt;=85%</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按照完成比例赋分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社会效益指标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降低疾病发病率和病死率</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&gt;=100%</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按评判等级赋分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400" w:hRule="atLeast"/>
          <w:jc w:val="center"/>
        </w:trPr>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7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患者对服务满意度</w:t>
            </w:r>
          </w:p>
        </w:tc>
        <w:tc>
          <w:tcPr>
            <w:tcW w:w="1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&gt;=90%</w:t>
            </w:r>
          </w:p>
        </w:tc>
        <w:tc>
          <w:tcPr>
            <w:tcW w:w="11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计划标准</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w:t>
            </w:r>
          </w:p>
        </w:tc>
        <w:tc>
          <w:tcPr>
            <w:tcW w:w="8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c>
          <w:tcPr>
            <w:tcW w:w="12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满意度赋分</w:t>
            </w:r>
          </w:p>
        </w:tc>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工作资料</w:t>
            </w:r>
          </w:p>
        </w:tc>
      </w:tr>
    </w:tbl>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w:t>
      </w:r>
      <w:bookmarkStart w:id="0" w:name="_Hlk169204404"/>
      <w:r>
        <w:rPr>
          <w:rFonts w:hint="eastAsia" w:ascii="仿宋_GB2312" w:hAnsi="黑体" w:eastAsia="仿宋_GB2312" w:cs="Times New Roman"/>
          <w:color w:val="auto"/>
          <w:sz w:val="32"/>
          <w:szCs w:val="32"/>
          <w14:ligatures w14:val="none"/>
        </w:rPr>
        <w:t>本次未公开项目支出绩效目标表共有</w:t>
      </w:r>
      <w:r>
        <w:rPr>
          <w:rFonts w:hint="eastAsia" w:ascii="仿宋_GB2312" w:hAnsi="黑体" w:eastAsia="仿宋_GB2312" w:cs="Times New Roman"/>
          <w:color w:val="auto"/>
          <w:sz w:val="32"/>
          <w:szCs w:val="32"/>
          <w:lang w:val="en-US" w:eastAsia="zh-CN"/>
          <w14:ligatures w14:val="none"/>
        </w:rPr>
        <w:t>3</w:t>
      </w:r>
      <w:r>
        <w:rPr>
          <w:rFonts w:hint="eastAsia" w:ascii="仿宋_GB2312" w:hAnsi="黑体" w:eastAsia="仿宋_GB2312" w:cs="Times New Roman"/>
          <w:color w:val="auto"/>
          <w:sz w:val="32"/>
          <w:szCs w:val="32"/>
          <w14:ligatures w14:val="none"/>
        </w:rPr>
        <w:t>个，其中：上级转移支付项目</w:t>
      </w:r>
      <w:r>
        <w:rPr>
          <w:rFonts w:hint="eastAsia" w:ascii="仿宋_GB2312" w:hAnsi="黑体" w:eastAsia="仿宋_GB2312" w:cs="Times New Roman"/>
          <w:color w:val="auto"/>
          <w:sz w:val="32"/>
          <w:szCs w:val="32"/>
          <w:lang w:val="en-US" w:eastAsia="zh-CN"/>
          <w14:ligatures w14:val="none"/>
        </w:rPr>
        <w:t>3</w:t>
      </w:r>
      <w:r>
        <w:rPr>
          <w:rFonts w:hint="eastAsia" w:ascii="仿宋_GB2312" w:hAnsi="黑体" w:eastAsia="仿宋_GB2312" w:cs="Times New Roman"/>
          <w:color w:val="auto"/>
          <w:sz w:val="32"/>
          <w:szCs w:val="32"/>
          <w14:ligatures w14:val="none"/>
        </w:rPr>
        <w:t>个，涉及预算金额17.68万元、绩效目标表完全不予公开。</w:t>
      </w:r>
      <w:bookmarkEnd w:id="0"/>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托克逊县卫生服务中心</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2E6BAA"/>
    <w:rsid w:val="003D287E"/>
    <w:rsid w:val="00467012"/>
    <w:rsid w:val="004F2124"/>
    <w:rsid w:val="005675D9"/>
    <w:rsid w:val="0067696B"/>
    <w:rsid w:val="006D39DD"/>
    <w:rsid w:val="00753E50"/>
    <w:rsid w:val="00861EED"/>
    <w:rsid w:val="00A836C6"/>
    <w:rsid w:val="00AA7806"/>
    <w:rsid w:val="00B22DC0"/>
    <w:rsid w:val="00E12CB1"/>
    <w:rsid w:val="00EE725B"/>
    <w:rsid w:val="00F25B89"/>
    <w:rsid w:val="00F60ABA"/>
    <w:rsid w:val="139010CE"/>
    <w:rsid w:val="28595392"/>
    <w:rsid w:val="345B2470"/>
    <w:rsid w:val="3DDC7F8B"/>
    <w:rsid w:val="466C798B"/>
    <w:rsid w:val="528557F9"/>
    <w:rsid w:val="529C3762"/>
    <w:rsid w:val="69A84ADD"/>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1843</Words>
  <Characters>2344</Characters>
  <Lines>129</Lines>
  <Paragraphs>36</Paragraphs>
  <TotalTime>12</TotalTime>
  <ScaleCrop>false</ScaleCrop>
  <LinksUpToDate>false</LinksUpToDate>
  <CharactersWithSpaces>2404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2025-08-12T05:06:58Z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9D29DB71AD564ADEB71893DF57E062CE_13</vt:lpwstr>
  </property>
  <property fmtid="{D5CDD505-2E9C-101B-9397-08002B2CF9AE}" pid="4" name="KSOTemplateDocerSaveRecord">
    <vt:lpwstr>eyJoZGlkIjoiMTcwMGY5N2M4YzI3ODdkZTMzOGFhZTcwMTk4MTdlMjAiLCJ1c2VySWQiOiI0OTQ1NzM3OTEifQ==</vt:lpwstr>
  </property>
</Properties>
</file>